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510167</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part</w:t>
      </w:r>
      <w:r>
        <w:rPr>
          <w:rFonts w:hint="eastAsia" w:ascii="Times New Roman" w:hAnsi="Times New Roman"/>
          <w:sz w:val="22"/>
          <w:lang w:val="en-US" w:eastAsia="zh-CN"/>
        </w:rPr>
        <w:t xml:space="preserve"> for AI/ML for mobilit</w:t>
      </w:r>
      <w:r>
        <w:rPr>
          <w:rFonts w:hint="eastAsia" w:ascii="Times New Roman" w:hAnsi="Times New Roman"/>
          <w:sz w:val="22"/>
          <w:highlight w:val="none"/>
          <w:lang w:val="en-US" w:eastAsia="zh-CN"/>
        </w:rPr>
        <w: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3"/>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3"/>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In last meeting, there was disc</w:t>
      </w:r>
      <w:r>
        <w:rPr>
          <w:rFonts w:hint="eastAsia" w:ascii="Times New Roman" w:hAnsi="Times New Roman" w:eastAsia="宋体"/>
          <w:sz w:val="20"/>
          <w:szCs w:val="20"/>
          <w:lang w:val="en-US" w:eastAsia="zh-CN"/>
        </w:rPr>
        <w:t>ussion on AI/ML for mobility, and a WF was agreed [2]. This contribution provides discussion on the general part.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2"/>
      <w:bookmarkStart w:id="8"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D81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49FB458B">
            <w:pPr>
              <w:bidi w:val="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rPr>
              <w:t>Issue 1-1-</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rPr>
              <w:t xml:space="preserve">: </w:t>
            </w:r>
            <w:bookmarkStart w:id="9" w:name="_Hlk179469976"/>
            <w:r>
              <w:rPr>
                <w:rFonts w:hint="default" w:ascii="Times New Roman" w:hAnsi="Times New Roman" w:cs="Times New Roman"/>
                <w:b/>
                <w:bCs/>
                <w:sz w:val="20"/>
                <w:szCs w:val="20"/>
              </w:rPr>
              <w:t>Scenario priorities</w:t>
            </w:r>
            <w:bookmarkEnd w:id="9"/>
          </w:p>
          <w:p w14:paraId="0D240634">
            <w:pPr>
              <w:rPr>
                <w:rFonts w:hint="default" w:ascii="Times New Roman" w:hAnsi="Times New Roman" w:cs="Times New Roman"/>
                <w:sz w:val="20"/>
                <w:szCs w:val="20"/>
                <w:lang w:eastAsia="zh-CN"/>
              </w:rPr>
            </w:pPr>
          </w:p>
          <w:p w14:paraId="48E06A09">
            <w:pPr>
              <w:pStyle w:val="13"/>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44F5530">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(OPPO, Nokia): RAN4 to only study scenarios 2,3,4 in this release.</w:t>
            </w:r>
          </w:p>
          <w:p w14:paraId="644F5531">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(ZTE): RAN4 to study the three high-priority scenarios of scenario 2, 3 and 4 first for measurement prediction use-case.</w:t>
            </w:r>
          </w:p>
          <w:p w14:paraId="644F5532">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3 (CMCC): it is proposed to firstly focus on scenario 2, 3, 4. If time allows, scenario 6 can be considered later.  </w:t>
            </w:r>
          </w:p>
          <w:p w14:paraId="644F5533">
            <w:pPr>
              <w:pStyle w:val="13"/>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(Huawei, HiSilicon): RAN4 to start the study of other scenarios than scenarios 2,3,4 if RAN2 achieves sufficient progress.</w:t>
            </w:r>
          </w:p>
          <w:p w14:paraId="4A38C1EA">
            <w:pPr>
              <w:pStyle w:val="13"/>
              <w:numPr>
                <w:ilvl w:val="1"/>
                <w:numId w:val="4"/>
              </w:numPr>
              <w:spacing w:before="120"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 xml:space="preserve">Proposal 5 (Ericsson): </w:t>
            </w:r>
            <w:r>
              <w:rPr>
                <w:rFonts w:hint="default" w:ascii="Times New Roman" w:hAnsi="Times New Roman" w:cs="Times New Roman"/>
                <w:sz w:val="20"/>
                <w:szCs w:val="20"/>
              </w:rPr>
              <w:t>RAN4 to either make an agreement to ensure that the agreement on scenario prioritization in the study item phase does not limit discussion on impact on RAN4 requirement for scenario 1, 5, and 6 in the normative phase provided the reporting framework for AI/ML aided mobility supports them or capture all scenarios in section for RAN4 in TR38.744 with a note to clarify that discussion on scenarios 2, 3, and 4 were prioritized in study item but requirements for scenarios 1, 5, and 6 are not precluded to be specified.</w:t>
            </w:r>
          </w:p>
        </w:tc>
      </w:tr>
    </w:tbl>
    <w:p w14:paraId="6BF99817">
      <w:pPr>
        <w:spacing w:after="180" w:line="240" w:lineRule="exact"/>
        <w:rPr>
          <w:rFonts w:hint="eastAsia" w:ascii="Times New Roman" w:hAnsi="Times New Roman" w:eastAsia="等线"/>
          <w:bCs/>
          <w:iCs/>
          <w:sz w:val="20"/>
          <w:szCs w:val="20"/>
          <w:lang w:val="en-US" w:eastAsia="zh-CN"/>
        </w:rPr>
      </w:pPr>
    </w:p>
    <w:p w14:paraId="0804E9A6">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was agreed that RAN4 to start the discussion for scenario 2, 3, 4 [6]. As for scenario 6 (</w:t>
      </w:r>
      <w:r>
        <w:rPr>
          <w:rFonts w:hint="default" w:ascii="Times New Roman" w:hAnsi="Times New Roman" w:eastAsia="Yu Mincho" w:cs="Times New Roman"/>
          <w:sz w:val="20"/>
          <w:szCs w:val="20"/>
        </w:rPr>
        <w:t>FR2 to FR2 intra-frequency spatial domain</w:t>
      </w:r>
      <w:r>
        <w:rPr>
          <w:rFonts w:hint="eastAsia" w:ascii="Times New Roman" w:hAnsi="Times New Roman" w:eastAsia="等线" w:cs="Times New Roman"/>
          <w:bCs/>
          <w:iCs/>
          <w:sz w:val="20"/>
          <w:szCs w:val="20"/>
          <w:lang w:val="en-US" w:eastAsia="zh-CN"/>
        </w:rPr>
        <w:t>), according to RAN2 agreements, the priority is middle. As for how to handle this scenario in RAN4, our preference is that currently focus on scenario 2, 3, 4, scenario 6 can be considered later if time allows. The reason is that scenario 6 is more like the use case of beam management in AI/ML for air interface which is under discussion in Rel-19. it is better to avoid the duplicated discussion.</w:t>
      </w:r>
    </w:p>
    <w:p w14:paraId="54C7946F">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6284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5816629B">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655249D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35ED6F6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6EF5196C">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3675C05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397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AAF603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7C2C0E6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187AAE8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0A83159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82C0F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768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BF6F44">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1206451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43BCA01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67B0B4F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393F56D8">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vertAlign w:val="superscript"/>
              </w:rPr>
            </w:pPr>
            <w:r>
              <w:rPr>
                <w:rFonts w:hint="default" w:ascii="Times New Roman" w:hAnsi="Times New Roman" w:eastAsia="Yu Mincho" w:cs="Times New Roman"/>
                <w:sz w:val="20"/>
                <w:szCs w:val="20"/>
              </w:rPr>
              <w:t>Intra-cell</w:t>
            </w:r>
          </w:p>
        </w:tc>
      </w:tr>
      <w:tr w14:paraId="34E0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46" w:type="dxa"/>
            <w:tcBorders>
              <w:top w:val="single" w:color="auto" w:sz="4" w:space="0"/>
              <w:left w:val="single" w:color="auto" w:sz="4" w:space="0"/>
              <w:bottom w:val="single" w:color="auto" w:sz="4" w:space="0"/>
              <w:right w:val="single" w:color="auto" w:sz="4" w:space="0"/>
            </w:tcBorders>
          </w:tcPr>
          <w:p w14:paraId="42418EF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4BF8381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33E0A03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74433AD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2EA5E4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Inter-cell </w:t>
            </w:r>
          </w:p>
        </w:tc>
      </w:tr>
      <w:tr w14:paraId="5FDC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7230539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43B8795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44EAF44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26BC09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F045808">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r w14:paraId="2A82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B5BB6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389E5A79">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3EAE0DD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6AC9792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394EE10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F5C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A6C70F8">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6ECCBD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664832E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2AF88EF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6C19FB1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0DBE367E">
      <w:pPr>
        <w:spacing w:after="180" w:line="240" w:lineRule="exact"/>
        <w:rPr>
          <w:rFonts w:hint="eastAsia" w:ascii="Times New Roman" w:hAnsi="Times New Roman" w:eastAsia="等线" w:cs="Times New Roman"/>
          <w:bCs/>
          <w:iCs/>
          <w:sz w:val="20"/>
          <w:szCs w:val="20"/>
          <w:lang w:val="en-US" w:eastAsia="zh-CN"/>
        </w:rPr>
      </w:pPr>
    </w:p>
    <w:p w14:paraId="6EB90835">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it is proposed to firstly focus on scenario 2, 3, 4.  </w:t>
      </w:r>
    </w:p>
    <w:p w14:paraId="5AA2AEA6">
      <w:pPr>
        <w:spacing w:after="180" w:line="240" w:lineRule="exact"/>
        <w:rPr>
          <w:rFonts w:hint="default" w:ascii="Times New Roman" w:hAnsi="Times New Roman" w:eastAsia="等线" w:cs="Times New Roman"/>
          <w:b/>
          <w:bCs w:val="0"/>
          <w:i/>
          <w:iCs w:val="0"/>
          <w:sz w:val="20"/>
          <w:szCs w:val="20"/>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AA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FE16C4D">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1-1-4: Sub-use-case priorities</w:t>
            </w:r>
          </w:p>
          <w:p w14:paraId="6604A79A">
            <w:pPr>
              <w:pStyle w:val="13"/>
              <w:numPr>
                <w:ilvl w:val="0"/>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RRM measurement prediction including intra and inter-frequency (UE sided and NW sided model) </w:t>
            </w:r>
            <w:r>
              <w:rPr>
                <w:rFonts w:hint="default" w:ascii="Times New Roman" w:hAnsi="Times New Roman" w:cs="Times New Roman"/>
                <w:color w:val="000000" w:themeColor="text1"/>
                <w:sz w:val="20"/>
                <w:szCs w:val="20"/>
                <w14:textFill>
                  <w14:solidFill>
                    <w14:schemeClr w14:val="tx1"/>
                  </w14:solidFill>
                </w14:textFill>
              </w:rPr>
              <w:t>At RAN2#125bis, the following sub-use cases were agreed for RRM measurement prediction:</w:t>
            </w:r>
          </w:p>
          <w:p w14:paraId="5B9EB2C8">
            <w:pPr>
              <w:pStyle w:val="13"/>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1</w:t>
            </w:r>
            <w:r>
              <w:rPr>
                <w:rFonts w:hint="default" w:ascii="Times New Roman" w:hAnsi="Times New Roman" w:cs="Times New Roman"/>
                <w:sz w:val="20"/>
                <w:szCs w:val="20"/>
              </w:rPr>
              <w:t xml:space="preserve">: L1 beam-level measurement result(s) is predicted based on actual L1 beam-level measurement result(s) and then L3 cell-level measurement result is generated </w:t>
            </w:r>
          </w:p>
          <w:p w14:paraId="723D9BD0">
            <w:pPr>
              <w:pStyle w:val="13"/>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2</w:t>
            </w:r>
            <w:r>
              <w:rPr>
                <w:rFonts w:hint="default" w:ascii="Times New Roman" w:hAnsi="Times New Roman" w:cs="Times New Roman"/>
                <w:sz w:val="20"/>
                <w:szCs w:val="20"/>
              </w:rPr>
              <w:t>: L3 Cell-level measurement result(s) is predicted based on actual L3 cell-level measurement result(s)</w:t>
            </w:r>
          </w:p>
          <w:p w14:paraId="408F6FC0">
            <w:pPr>
              <w:pStyle w:val="13"/>
              <w:numPr>
                <w:ilvl w:val="1"/>
                <w:numId w:val="4"/>
              </w:numPr>
              <w:tabs>
                <w:tab w:val="left" w:pos="1440"/>
              </w:tabs>
              <w:overflowPunct/>
              <w:autoSpaceDE/>
              <w:autoSpaceDN/>
              <w:adjustRightInd/>
              <w:spacing w:after="120" w:afterLines="50"/>
              <w:ind w:firstLineChars="0"/>
              <w:contextualSpacing/>
              <w:jc w:val="both"/>
              <w:rPr>
                <w:rFonts w:hint="default" w:ascii="Times New Roman" w:hAnsi="Times New Roman" w:cs="Times New Roman"/>
                <w:sz w:val="20"/>
                <w:szCs w:val="20"/>
              </w:rPr>
            </w:pPr>
            <w:r>
              <w:rPr>
                <w:rFonts w:hint="default" w:ascii="Times New Roman" w:hAnsi="Times New Roman" w:cs="Times New Roman"/>
                <w:i/>
                <w:iCs/>
                <w:sz w:val="20"/>
                <w:szCs w:val="20"/>
              </w:rPr>
              <w:t>Sub-use case 3</w:t>
            </w:r>
            <w:r>
              <w:rPr>
                <w:rFonts w:hint="default" w:ascii="Times New Roman" w:hAnsi="Times New Roman" w:cs="Times New Roman"/>
                <w:sz w:val="20"/>
                <w:szCs w:val="20"/>
              </w:rPr>
              <w:t>: L3 Cell-level measurement result(s) is predicted based on actual L1 beam-level measurement result(s)</w:t>
            </w:r>
          </w:p>
          <w:p w14:paraId="644F5543">
            <w:pPr>
              <w:pStyle w:val="13"/>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48B18FC5">
            <w:pPr>
              <w:pStyle w:val="13"/>
              <w:numPr>
                <w:ilvl w:val="1"/>
                <w:numId w:val="4"/>
              </w:numPr>
              <w:spacing w:before="120"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Proposal 1 (OPPO, ZTE, CMCC, Huawei, vivo): RAN4 to consider all three sub-use cases with no prioritization.</w:t>
            </w:r>
          </w:p>
        </w:tc>
      </w:tr>
    </w:tbl>
    <w:p w14:paraId="7617CF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10F2FB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scenario 2, 3 and 4, the sub-use case 1, 2, 3 can be discussed. In last meeting, there are proposals to prioritize some of the sub-use cases. On one hand, all these sub-use cases are considered in RAN2, we do not see the necessity to further down-select in RAN4. On the other hand, for different use case, the inference model is used at different position in the measurement process. The AI prediction model algorithm would be different due to different input and output. The prediction accuracy may be different for different sub-use cases. Our preference is to keep all of these. If the majority view is to perform prioritation, it is proposed to consider sub-use case 1 and sub-use case 2. The reason is that both are are typical implementation. And the model output are different, one output is L1 RSRP, while the other is L3 RSRP. Both need to be considered to study the impact.</w:t>
      </w:r>
    </w:p>
    <w:p w14:paraId="486165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E77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4F554F">
            <w:pPr>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1-4: Radio Link Failure (RLF) prediction use case</w:t>
            </w:r>
          </w:p>
          <w:p w14:paraId="644F5550">
            <w:pPr>
              <w:pStyle w:val="13"/>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1A970A10">
            <w:pPr>
              <w:pStyle w:val="13"/>
              <w:numPr>
                <w:ilvl w:val="1"/>
                <w:numId w:val="4"/>
              </w:numPr>
              <w:spacing w:before="120"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Proposal 1 (ZTE, Huawei, vivo, CATT): RAN4 not to study RRM impact on RLF prediction in Rel-19</w:t>
            </w:r>
          </w:p>
        </w:tc>
      </w:tr>
    </w:tbl>
    <w:p w14:paraId="5B2E6189">
      <w:pPr>
        <w:spacing w:after="180" w:line="240" w:lineRule="exact"/>
        <w:rPr>
          <w:rFonts w:hint="default" w:ascii="Times New Roman" w:hAnsi="Times New Roman" w:eastAsia="等线"/>
          <w:bCs/>
          <w:iCs/>
          <w:sz w:val="20"/>
          <w:szCs w:val="20"/>
          <w:lang w:val="en-US" w:eastAsia="zh-CN"/>
        </w:rPr>
      </w:pPr>
    </w:p>
    <w:p w14:paraId="050D4CCF">
      <w:pPr>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eastAsia="等线"/>
          <w:bCs/>
          <w:iCs/>
          <w:sz w:val="20"/>
          <w:szCs w:val="20"/>
          <w:lang w:val="en-US" w:eastAsia="zh-CN"/>
        </w:rPr>
        <w:t xml:space="preserve">In RAN2#129 meeting, it was agreed that RLF prediction will not be studied in Rel-19. With this RAN2 conclusion, there is no need for RAN4 to study </w:t>
      </w:r>
      <w:r>
        <w:rPr>
          <w:rFonts w:hint="default" w:ascii="Times New Roman" w:hAnsi="Times New Roman" w:eastAsia="Yu Mincho" w:cs="Times New Roman"/>
          <w:sz w:val="20"/>
          <w:szCs w:val="20"/>
        </w:rPr>
        <w:t>RRM impact on RLF prediction in Rel-19</w:t>
      </w:r>
      <w:r>
        <w:rPr>
          <w:rFonts w:hint="eastAsia" w:ascii="Times New Roman" w:hAnsi="Times New Roman" w:eastAsia="宋体" w:cs="Times New Roman"/>
          <w:sz w:val="20"/>
          <w:szCs w:val="20"/>
          <w:lang w:val="en-US" w:eastAsia="zh-CN"/>
        </w:rPr>
        <w:t>.</w:t>
      </w:r>
    </w:p>
    <w:p w14:paraId="7FA43576">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3: it is proposed that </w:t>
      </w:r>
      <w:r>
        <w:rPr>
          <w:rFonts w:hint="default" w:ascii="Times New Roman" w:hAnsi="Times New Roman" w:eastAsia="Yu Mincho" w:cs="Times New Roman"/>
          <w:b/>
          <w:bCs/>
          <w:i/>
          <w:iCs/>
          <w:sz w:val="20"/>
          <w:szCs w:val="20"/>
        </w:rPr>
        <w:t>RAN4 not to study RRM impact on RLF prediction in Rel-19</w:t>
      </w:r>
      <w:r>
        <w:rPr>
          <w:rFonts w:hint="eastAsia" w:ascii="Times New Roman" w:hAnsi="Times New Roman" w:eastAsia="宋体" w:cs="Times New Roman"/>
          <w:b/>
          <w:bCs/>
          <w:i/>
          <w:iCs/>
          <w:sz w:val="20"/>
          <w:szCs w:val="20"/>
          <w:lang w:val="en-US" w:eastAsia="zh-CN"/>
        </w:rPr>
        <w:t xml:space="preserve">, sine RAN2 agreed that </w:t>
      </w:r>
      <w:r>
        <w:rPr>
          <w:rFonts w:hint="eastAsia" w:ascii="Times New Roman" w:hAnsi="Times New Roman" w:eastAsia="等线"/>
          <w:b/>
          <w:bCs/>
          <w:i/>
          <w:iCs/>
          <w:sz w:val="20"/>
          <w:szCs w:val="20"/>
          <w:lang w:val="en-US" w:eastAsia="zh-CN"/>
        </w:rPr>
        <w:t>RLF prediction will not be studied in Rel-19.</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26E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8788E97">
            <w:pPr>
              <w:pStyle w:val="16"/>
              <w:ind w:left="0" w:firstLine="0"/>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lang w:val="en-US" w:eastAsia="zh-CN"/>
              </w:rPr>
              <w:t xml:space="preserve">RAN2 </w:t>
            </w:r>
            <w:r>
              <w:rPr>
                <w:rFonts w:hint="default" w:ascii="Times New Roman" w:hAnsi="Times New Roman" w:cs="Times New Roman"/>
                <w:b/>
                <w:bCs/>
                <w:sz w:val="20"/>
                <w:szCs w:val="20"/>
              </w:rPr>
              <w:t>Agreements</w:t>
            </w:r>
            <w:r>
              <w:rPr>
                <w:rFonts w:hint="default" w:ascii="Times New Roman" w:hAnsi="Times New Roman" w:cs="Times New Roman"/>
                <w:b/>
                <w:bCs/>
                <w:sz w:val="20"/>
                <w:szCs w:val="20"/>
                <w:lang w:val="en-US" w:eastAsia="zh-CN"/>
              </w:rPr>
              <w:t xml:space="preserve"> in RAN2#130 meeting</w:t>
            </w:r>
          </w:p>
          <w:p w14:paraId="440335B6">
            <w:pPr>
              <w:pStyle w:val="16"/>
              <w:ind w:left="363"/>
              <w:rPr>
                <w:rFonts w:hint="default" w:ascii="Times New Roman" w:hAnsi="Times New Roman" w:cs="Times New Roman"/>
                <w:sz w:val="20"/>
                <w:szCs w:val="20"/>
              </w:rPr>
            </w:pPr>
            <w:r>
              <w:rPr>
                <w:rFonts w:hint="default" w:ascii="Times New Roman" w:hAnsi="Times New Roman" w:cs="Times New Roman"/>
                <w:sz w:val="20"/>
                <w:szCs w:val="20"/>
              </w:rPr>
              <w:t>For the collection of data for the training of a network-sided model for RRM measurement prediction:</w:t>
            </w:r>
          </w:p>
          <w:p w14:paraId="4A304E86">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UE can be configured to log, at a certain logging periodicity, one or more of the following:</w:t>
            </w:r>
          </w:p>
          <w:p w14:paraId="3A41487E">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L3 cell level measurements, </w:t>
            </w:r>
          </w:p>
          <w:p w14:paraId="7586CD22">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L3 beam level measurements,</w:t>
            </w:r>
          </w:p>
          <w:p w14:paraId="4F787681">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L1-filtered beam level measurements (if sub-case 1 and 3 is supported)</w:t>
            </w:r>
          </w:p>
          <w:p w14:paraId="5B671518">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Cell ID (FFS CGI of serving cell.  If CGI is unavailable, or for neighboring cells the UE logs PCI-ARFCN as a fallback)</w:t>
            </w:r>
          </w:p>
          <w:p w14:paraId="1CA11895">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info (if as agreed by AI/ML and/or if needed) </w:t>
            </w:r>
          </w:p>
          <w:p w14:paraId="6B38BDF4">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The UE configuration is provided via the RRM measurement framework. Whether we reuse existing measconfig structure or we need a separate data logging configuration is for WI phase.   Required enhancements are FFS.</w:t>
            </w:r>
          </w:p>
          <w:p w14:paraId="7ADC31D3">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UE can be configured with a L3 event for determining when logging is to be performed. When the event conditions are fulfilled, it performs the logging with the logging periodicity.   </w:t>
            </w:r>
          </w:p>
          <w:p w14:paraId="6C7052FA">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The UE sends availability indication of collected logged data via UAI or RRCReconfigurationComplete message for HO case.</w:t>
            </w:r>
          </w:p>
          <w:p w14:paraId="2C2C2D3E">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The availability indication can be triggered due to:</w:t>
            </w:r>
          </w:p>
          <w:p w14:paraId="35D07712">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full buffer being reached (if configured), (FFS if buffer is per use case)</w:t>
            </w:r>
          </w:p>
          <w:p w14:paraId="1974B553">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buffer threshold being reached (if configured), or (FFS if buffer is per use case)</w:t>
            </w:r>
          </w:p>
          <w:p w14:paraId="2D5CE514">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low power (if configured)</w:t>
            </w:r>
          </w:p>
          <w:p w14:paraId="5FCD0562">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Upon sending the availability indication, UE indicates:</w:t>
            </w:r>
          </w:p>
          <w:p w14:paraId="575467A0">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Data is available</w:t>
            </w:r>
          </w:p>
          <w:p w14:paraId="5C185BF6">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Reason for the triggering of the availability indication (full buffer. Threshold)</w:t>
            </w:r>
          </w:p>
          <w:p w14:paraId="2D8CC95B">
            <w:pPr>
              <w:pStyle w:val="16"/>
              <w:numPr>
                <w:ilvl w:val="0"/>
                <w:numId w:val="6"/>
              </w:numPr>
              <w:overflowPunct/>
              <w:autoSpaceDE/>
              <w:autoSpaceDN/>
              <w:adjustRightInd/>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Low power indication</w:t>
            </w:r>
          </w:p>
          <w:p w14:paraId="0D156B7F">
            <w:pPr>
              <w:pStyle w:val="16"/>
              <w:numPr>
                <w:ilvl w:val="0"/>
                <w:numId w:val="5"/>
              </w:numPr>
              <w:overflowPunct/>
              <w:autoSpaceDE/>
              <w:autoSpaceDN/>
              <w:adjustRightInd/>
              <w:ind w:left="72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UE sends the collected data upon explicit/on-demand request from the network (using UEInformationRequest/Response signaling)</w:t>
            </w:r>
          </w:p>
          <w:p w14:paraId="09C9ACE6">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The UE keeps the collected data upon HO, unless explicitly indicated to release it by the network (e.g., during HO).</w:t>
            </w:r>
          </w:p>
          <w:p w14:paraId="18FAAB27">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The UE releases the collected data upon transitioning to IDLE/INACTIVE</w:t>
            </w:r>
          </w:p>
          <w:p w14:paraId="6384C877">
            <w:pPr>
              <w:pStyle w:val="16"/>
              <w:numPr>
                <w:ilvl w:val="0"/>
                <w:numId w:val="5"/>
              </w:numPr>
              <w:overflowPunct/>
              <w:autoSpaceDE/>
              <w:autoSpaceDN/>
              <w:adjustRightInd/>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For RLF case, capture in the TR that for mobility keeping the data during RLF can be beneficial.   It can be up to WI phase if this is done depending on whether a simple solution can be found</w:t>
            </w:r>
          </w:p>
          <w:p w14:paraId="3292C14D">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For UE sided data collection – use AI/ML PHY request/configuration framework as baseline.  FFS enhancements/or differences</w:t>
            </w:r>
          </w:p>
        </w:tc>
      </w:tr>
    </w:tbl>
    <w:p w14:paraId="35A195E4">
      <w:pPr>
        <w:spacing w:after="180" w:line="240" w:lineRule="exact"/>
        <w:rPr>
          <w:rFonts w:hint="default" w:ascii="Times New Roman" w:hAnsi="Times New Roman" w:eastAsia="等线"/>
          <w:bCs/>
          <w:iCs/>
          <w:sz w:val="20"/>
          <w:szCs w:val="20"/>
          <w:lang w:val="en-US" w:eastAsia="zh-CN"/>
        </w:rPr>
      </w:pPr>
    </w:p>
    <w:p w14:paraId="0B60DA0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RAN2 agreements, UE can be configured to log L3 cell level measurements, L3 beam level measurement, L1-filtered beam level measurement. </w:t>
      </w:r>
      <w:r>
        <w:rPr>
          <w:rFonts w:hint="default" w:ascii="Times New Roman" w:hAnsi="Times New Roman" w:cs="Times New Roman"/>
          <w:sz w:val="20"/>
          <w:szCs w:val="20"/>
        </w:rPr>
        <w:t>The UE configuration is provided via the RRM measurement framework.</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And UE sends the collected data upon explicit/on-demand request from the network. The data collection </w:t>
      </w:r>
      <w:r>
        <w:rPr>
          <w:rFonts w:hint="default" w:ascii="Times New Roman" w:hAnsi="Times New Roman" w:cs="Times New Roman"/>
          <w:sz w:val="20"/>
          <w:szCs w:val="20"/>
        </w:rPr>
        <w:t>for the training of a network-sided model</w:t>
      </w:r>
      <w:r>
        <w:rPr>
          <w:rFonts w:hint="eastAsia" w:ascii="Times New Roman" w:hAnsi="Times New Roman" w:eastAsia="等线"/>
          <w:bCs/>
          <w:iCs/>
          <w:sz w:val="20"/>
          <w:szCs w:val="20"/>
          <w:lang w:val="en-US" w:eastAsia="zh-CN"/>
        </w:rPr>
        <w:t xml:space="preserve"> is performed in connected state. In our view, the logging and reporting of collected data is similar as legacy L3/L1 measurement and measurement report. Based on above consideration, it is proposed that the legacy accuracy requirements are applied to the logging data.</w:t>
      </w:r>
    </w:p>
    <w:p w14:paraId="3186B5E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Data Collection for NW sided model, it is proposed that legacy accuracy requirements are applied to the logging data, e.g. L3 cell level measurements, L3 beam level measurement, L1-filtered beam level measurement. </w:t>
      </w:r>
    </w:p>
    <w:p w14:paraId="7F88C703">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w:t>
      </w:r>
      <w:r>
        <w:rPr>
          <w:rFonts w:hint="eastAsia" w:ascii="Times New Roman" w:hAnsi="Times New Roman" w:eastAsia="宋体"/>
          <w:sz w:val="20"/>
          <w:szCs w:val="20"/>
        </w:rPr>
        <w:t xml:space="preserve">n </w:t>
      </w:r>
      <w:r>
        <w:rPr>
          <w:rFonts w:hint="eastAsia" w:ascii="Times New Roman" w:hAnsi="Times New Roman" w:eastAsia="宋体"/>
          <w:sz w:val="20"/>
          <w:szCs w:val="20"/>
          <w:lang w:val="en-US" w:eastAsia="zh-CN"/>
        </w:rPr>
        <w:t>general part for AI/ML for mobility.</w:t>
      </w:r>
      <w:r>
        <w:rPr>
          <w:rFonts w:hint="eastAsia" w:ascii="Times New Roman" w:hAnsi="Times New Roman" w:eastAsia="宋体"/>
          <w:sz w:val="20"/>
          <w:szCs w:val="20"/>
        </w:rPr>
        <w:t xml:space="preserve"> T</w:t>
      </w:r>
      <w:r>
        <w:rPr>
          <w:rFonts w:hint="eastAsia" w:ascii="Times New Roman" w:hAnsi="Times New Roman"/>
          <w:sz w:val="20"/>
          <w:szCs w:val="20"/>
        </w:rPr>
        <w:t>he proposals are:</w:t>
      </w:r>
    </w:p>
    <w:p w14:paraId="5940C780">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it is proposed to firstly focus on scenario 2, 3, 4.  </w:t>
      </w:r>
    </w:p>
    <w:p w14:paraId="3DB93F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it is proposed to consider </w:t>
      </w:r>
      <w:r>
        <w:rPr>
          <w:rFonts w:hint="default" w:ascii="Times New Roman" w:hAnsi="Times New Roman" w:eastAsia="Yu Mincho" w:cs="Times New Roman"/>
          <w:b/>
          <w:bCs w:val="0"/>
          <w:i/>
          <w:iCs w:val="0"/>
          <w:sz w:val="20"/>
          <w:szCs w:val="20"/>
        </w:rPr>
        <w:t>all three sub-use cases</w:t>
      </w:r>
      <w:r>
        <w:rPr>
          <w:rFonts w:hint="eastAsia" w:ascii="Times New Roman" w:hAnsi="Times New Roman" w:cs="Times New Roman"/>
          <w:b/>
          <w:bCs w:val="0"/>
          <w:i/>
          <w:iCs w:val="0"/>
          <w:sz w:val="20"/>
          <w:szCs w:val="20"/>
          <w:lang w:val="en-US" w:eastAsia="zh-CN"/>
        </w:rPr>
        <w:t>.</w:t>
      </w:r>
    </w:p>
    <w:p w14:paraId="1EF64A9F">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3: it is proposed that </w:t>
      </w:r>
      <w:r>
        <w:rPr>
          <w:rFonts w:hint="default" w:ascii="Times New Roman" w:hAnsi="Times New Roman" w:eastAsia="Yu Mincho" w:cs="Times New Roman"/>
          <w:b/>
          <w:bCs/>
          <w:i/>
          <w:iCs/>
          <w:sz w:val="20"/>
          <w:szCs w:val="20"/>
        </w:rPr>
        <w:t>RAN4 not to study RRM impact on RLF prediction in Rel-19</w:t>
      </w:r>
      <w:r>
        <w:rPr>
          <w:rFonts w:hint="eastAsia" w:ascii="Times New Roman" w:hAnsi="Times New Roman" w:eastAsia="宋体" w:cs="Times New Roman"/>
          <w:b/>
          <w:bCs/>
          <w:i/>
          <w:iCs/>
          <w:sz w:val="20"/>
          <w:szCs w:val="20"/>
          <w:lang w:val="en-US" w:eastAsia="zh-CN"/>
        </w:rPr>
        <w:t xml:space="preserve">, sine RAN2 agreed that </w:t>
      </w:r>
      <w:r>
        <w:rPr>
          <w:rFonts w:hint="eastAsia" w:ascii="Times New Roman" w:hAnsi="Times New Roman" w:eastAsia="等线"/>
          <w:b/>
          <w:bCs/>
          <w:i/>
          <w:iCs/>
          <w:sz w:val="20"/>
          <w:szCs w:val="20"/>
          <w:lang w:val="en-US" w:eastAsia="zh-CN"/>
        </w:rPr>
        <w:t>RLF prediction will not be studied in Rel-19.</w:t>
      </w:r>
    </w:p>
    <w:p w14:paraId="56E78F6E">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4: for Data Collection for NW sided model, it is proposed that legacy accuracy requirements are applied to the logging data, e.g. L3 cell level measurements, L3 beam level measurement, L1-filtered beam level measurement. </w:t>
      </w:r>
      <w:bookmarkStart w:id="10" w:name="_GoBack"/>
      <w:bookmarkEnd w:id="10"/>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4"/>
        <w:framePr w:wrap="auto" w:vAnchor="margin" w:hAnchor="text" w:yAlign="inline"/>
        <w:numPr>
          <w:ilvl w:val="0"/>
          <w:numId w:val="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476CD0CC">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R4-2508268</w:t>
      </w:r>
      <w:r>
        <w:rPr>
          <w:rFonts w:hint="eastAsia" w:ascii="Times" w:hAnsi="Times" w:eastAsia="宋体"/>
          <w:b w:val="0"/>
          <w:sz w:val="20"/>
          <w:lang w:val="en-US" w:eastAsia="zh-CN"/>
        </w:rPr>
        <w:t>, WF on AI/ML Mobility Part 1, Nokia</w:t>
      </w:r>
    </w:p>
    <w:p w14:paraId="5B7157C7">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93290E0">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4"/>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771986"/>
    <w:multiLevelType w:val="multilevel"/>
    <w:tmpl w:val="3A771986"/>
    <w:lvl w:ilvl="0" w:tentative="0">
      <w:start w:val="0"/>
      <w:numFmt w:val="bullet"/>
      <w:lvlText w:val="-"/>
      <w:lvlJc w:val="left"/>
      <w:pPr>
        <w:ind w:left="2339" w:hanging="360"/>
      </w:pPr>
      <w:rPr>
        <w:rFonts w:hint="default" w:ascii="Calibri" w:hAnsi="Calibri" w:eastAsia="Times New Roman" w:cs="Calibri"/>
      </w:rPr>
    </w:lvl>
    <w:lvl w:ilvl="1" w:tentative="0">
      <w:start w:val="1"/>
      <w:numFmt w:val="lowerLetter"/>
      <w:lvlText w:val="%2."/>
      <w:lvlJc w:val="left"/>
      <w:pPr>
        <w:ind w:left="3059" w:hanging="360"/>
      </w:pPr>
    </w:lvl>
    <w:lvl w:ilvl="2" w:tentative="0">
      <w:start w:val="1"/>
      <w:numFmt w:val="lowerRoman"/>
      <w:lvlText w:val="%3."/>
      <w:lvlJc w:val="right"/>
      <w:pPr>
        <w:ind w:left="3779" w:hanging="180"/>
      </w:pPr>
    </w:lvl>
    <w:lvl w:ilvl="3" w:tentative="0">
      <w:start w:val="1"/>
      <w:numFmt w:val="decimal"/>
      <w:lvlText w:val="%4."/>
      <w:lvlJc w:val="left"/>
      <w:pPr>
        <w:ind w:left="4499" w:hanging="360"/>
      </w:pPr>
    </w:lvl>
    <w:lvl w:ilvl="4" w:tentative="0">
      <w:start w:val="1"/>
      <w:numFmt w:val="lowerLetter"/>
      <w:lvlText w:val="%5."/>
      <w:lvlJc w:val="left"/>
      <w:pPr>
        <w:ind w:left="5219" w:hanging="360"/>
      </w:pPr>
    </w:lvl>
    <w:lvl w:ilvl="5" w:tentative="0">
      <w:start w:val="1"/>
      <w:numFmt w:val="lowerRoman"/>
      <w:lvlText w:val="%6."/>
      <w:lvlJc w:val="right"/>
      <w:pPr>
        <w:ind w:left="5939" w:hanging="180"/>
      </w:pPr>
    </w:lvl>
    <w:lvl w:ilvl="6" w:tentative="0">
      <w:start w:val="1"/>
      <w:numFmt w:val="decimal"/>
      <w:lvlText w:val="%7."/>
      <w:lvlJc w:val="left"/>
      <w:pPr>
        <w:ind w:left="6659" w:hanging="360"/>
      </w:pPr>
    </w:lvl>
    <w:lvl w:ilvl="7" w:tentative="0">
      <w:start w:val="1"/>
      <w:numFmt w:val="lowerLetter"/>
      <w:lvlText w:val="%8."/>
      <w:lvlJc w:val="left"/>
      <w:pPr>
        <w:ind w:left="7379" w:hanging="360"/>
      </w:pPr>
    </w:lvl>
    <w:lvl w:ilvl="8" w:tentative="0">
      <w:start w:val="1"/>
      <w:numFmt w:val="lowerRoman"/>
      <w:lvlText w:val="%9."/>
      <w:lvlJc w:val="right"/>
      <w:pPr>
        <w:ind w:left="8099"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DDA074F"/>
    <w:multiLevelType w:val="multilevel"/>
    <w:tmpl w:val="6DDA074F"/>
    <w:lvl w:ilvl="0" w:tentative="0">
      <w:start w:val="1"/>
      <w:numFmt w:val="lowerLetter"/>
      <w:lvlText w:val="%1)"/>
      <w:lvlJc w:val="left"/>
      <w:pPr>
        <w:ind w:left="1979" w:hanging="360"/>
      </w:p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2"/>
  </w:num>
  <w:num w:numId="3">
    <w:abstractNumId w:val="1"/>
  </w:num>
  <w:num w:numId="4">
    <w:abstractNumId w:val="4"/>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24C4754"/>
    <w:rsid w:val="030F42DA"/>
    <w:rsid w:val="039B37C7"/>
    <w:rsid w:val="03B64756"/>
    <w:rsid w:val="04AD59D9"/>
    <w:rsid w:val="04BA6370"/>
    <w:rsid w:val="04ED1825"/>
    <w:rsid w:val="05581271"/>
    <w:rsid w:val="08320503"/>
    <w:rsid w:val="095F3199"/>
    <w:rsid w:val="0C4E207D"/>
    <w:rsid w:val="0CA917F7"/>
    <w:rsid w:val="0E023C9B"/>
    <w:rsid w:val="0E1D4B35"/>
    <w:rsid w:val="11144517"/>
    <w:rsid w:val="12B677C2"/>
    <w:rsid w:val="133E099F"/>
    <w:rsid w:val="13E54515"/>
    <w:rsid w:val="154B4C98"/>
    <w:rsid w:val="19073D1E"/>
    <w:rsid w:val="19351A4B"/>
    <w:rsid w:val="1C092B1E"/>
    <w:rsid w:val="1E262080"/>
    <w:rsid w:val="1EA13FCF"/>
    <w:rsid w:val="20A67B9D"/>
    <w:rsid w:val="21F229A5"/>
    <w:rsid w:val="22131A27"/>
    <w:rsid w:val="22F84732"/>
    <w:rsid w:val="29521D5A"/>
    <w:rsid w:val="296A6325"/>
    <w:rsid w:val="2A280AB9"/>
    <w:rsid w:val="2C0A6A50"/>
    <w:rsid w:val="2DCC054E"/>
    <w:rsid w:val="31B53264"/>
    <w:rsid w:val="3377765C"/>
    <w:rsid w:val="33785ABF"/>
    <w:rsid w:val="351D1843"/>
    <w:rsid w:val="3850290E"/>
    <w:rsid w:val="39A706A6"/>
    <w:rsid w:val="3AB55D53"/>
    <w:rsid w:val="3AF811CC"/>
    <w:rsid w:val="3FF257A0"/>
    <w:rsid w:val="41597CC1"/>
    <w:rsid w:val="41A90D45"/>
    <w:rsid w:val="43661D77"/>
    <w:rsid w:val="4449730B"/>
    <w:rsid w:val="44923C8C"/>
    <w:rsid w:val="44ED5522"/>
    <w:rsid w:val="45251780"/>
    <w:rsid w:val="486C7D0F"/>
    <w:rsid w:val="48703FE7"/>
    <w:rsid w:val="488B6057"/>
    <w:rsid w:val="48BC1FC7"/>
    <w:rsid w:val="48BD345D"/>
    <w:rsid w:val="48F55360"/>
    <w:rsid w:val="4AAA7A11"/>
    <w:rsid w:val="4F01352B"/>
    <w:rsid w:val="4F2D5AF5"/>
    <w:rsid w:val="50AC3D18"/>
    <w:rsid w:val="510B71B7"/>
    <w:rsid w:val="521A547C"/>
    <w:rsid w:val="522225A1"/>
    <w:rsid w:val="56582839"/>
    <w:rsid w:val="565D6A3F"/>
    <w:rsid w:val="5798278D"/>
    <w:rsid w:val="59A65848"/>
    <w:rsid w:val="5AAC5686"/>
    <w:rsid w:val="5C491F27"/>
    <w:rsid w:val="5E176D14"/>
    <w:rsid w:val="601B093B"/>
    <w:rsid w:val="60C06ECB"/>
    <w:rsid w:val="617674D6"/>
    <w:rsid w:val="61802450"/>
    <w:rsid w:val="61DF3A9F"/>
    <w:rsid w:val="62BB7F8A"/>
    <w:rsid w:val="676E7F3D"/>
    <w:rsid w:val="67A4673A"/>
    <w:rsid w:val="6C642F64"/>
    <w:rsid w:val="71997D14"/>
    <w:rsid w:val="71A82806"/>
    <w:rsid w:val="73C17630"/>
    <w:rsid w:val="73F67ACD"/>
    <w:rsid w:val="75A5650E"/>
    <w:rsid w:val="77B91A3C"/>
    <w:rsid w:val="77F160D3"/>
    <w:rsid w:val="79670D3F"/>
    <w:rsid w:val="7A1573B8"/>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99"/>
    <w:pPr>
      <w:spacing w:before="120" w:after="120"/>
    </w:pPr>
    <w:rPr>
      <w:b/>
    </w:rPr>
  </w:style>
  <w:style w:type="paragraph" w:styleId="7">
    <w:name w:val="annotation text"/>
    <w:basedOn w:val="1"/>
    <w:qFormat/>
    <w:uiPriority w:val="0"/>
  </w:style>
  <w:style w:type="paragraph" w:styleId="8">
    <w:name w:val="Body Text"/>
    <w:basedOn w:val="1"/>
    <w:qFormat/>
    <w:uiPriority w:val="0"/>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8"/>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2025-08-15T08:27:08Z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